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64FF5" w14:textId="77777777" w:rsidR="00A83FE6" w:rsidRDefault="00A83FE6" w:rsidP="00A83FE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Segoe UI"/>
        </w:rPr>
      </w:pPr>
    </w:p>
    <w:p w14:paraId="08C1C0A9" w14:textId="19EEDC4E" w:rsidR="00A83FE6" w:rsidRDefault="00A83FE6" w:rsidP="00A83F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entury Gothic" w:hAnsi="Century Gothic" w:cs="Segoe UI"/>
        </w:rPr>
        <w:t>LIBRARY SERVICES AND TECHNOLOGY ACT (LSTA)</w:t>
      </w:r>
      <w:r>
        <w:rPr>
          <w:rStyle w:val="eop"/>
          <w:rFonts w:ascii="Century Gothic" w:hAnsi="Century Gothic" w:cs="Segoe UI"/>
        </w:rPr>
        <w:t> </w:t>
      </w:r>
    </w:p>
    <w:p w14:paraId="1E63D774" w14:textId="19D1DBF8" w:rsidR="00931872" w:rsidRDefault="19FD9150" w:rsidP="0A9724D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entury Gothic" w:hAnsi="Century Gothic" w:cs="Segoe UI"/>
        </w:rPr>
      </w:pPr>
      <w:r w:rsidRPr="0A9724D4">
        <w:rPr>
          <w:rStyle w:val="normaltextrun"/>
          <w:rFonts w:ascii="Century Gothic" w:hAnsi="Century Gothic" w:cs="Segoe UI"/>
          <w:b/>
          <w:bCs/>
        </w:rPr>
        <w:t>Summary Financial Report</w:t>
      </w:r>
      <w:r w:rsidR="036A4189" w:rsidRPr="0A9724D4">
        <w:rPr>
          <w:rStyle w:val="normaltextrun"/>
          <w:rFonts w:ascii="Century Gothic" w:hAnsi="Century Gothic" w:cs="Segoe UI"/>
          <w:b/>
          <w:bCs/>
        </w:rPr>
        <w:t xml:space="preserve"> </w:t>
      </w:r>
      <w:r w:rsidR="6FDFAE0F" w:rsidRPr="0A9724D4">
        <w:rPr>
          <w:rStyle w:val="normaltextrun"/>
          <w:rFonts w:ascii="Century Gothic" w:hAnsi="Century Gothic" w:cs="Segoe UI"/>
          <w:b/>
          <w:bCs/>
        </w:rPr>
        <w:t>Instructions</w:t>
      </w:r>
      <w:r w:rsidR="6FDFAE0F" w:rsidRPr="0A9724D4">
        <w:rPr>
          <w:rStyle w:val="eop"/>
          <w:rFonts w:ascii="Century Gothic" w:hAnsi="Century Gothic" w:cs="Segoe UI"/>
        </w:rPr>
        <w:t> </w:t>
      </w:r>
    </w:p>
    <w:p w14:paraId="28276704" w14:textId="77777777" w:rsidR="00A83FE6" w:rsidRPr="00A83FE6" w:rsidRDefault="00A83FE6" w:rsidP="00A83F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F20A634" w14:textId="52EE4D51" w:rsidR="00D42A40" w:rsidRPr="00FF3406" w:rsidRDefault="00C42471" w:rsidP="00D42A40">
      <w:pPr>
        <w:rPr>
          <w:rFonts w:ascii="Century Gothic" w:hAnsi="Century Gothic"/>
          <w:sz w:val="24"/>
          <w:szCs w:val="24"/>
        </w:rPr>
      </w:pPr>
      <w:r w:rsidRPr="00FF3406">
        <w:rPr>
          <w:rFonts w:ascii="Century Gothic" w:hAnsi="Century Gothic"/>
          <w:sz w:val="24"/>
          <w:szCs w:val="24"/>
        </w:rPr>
        <w:t xml:space="preserve">This report is due on the date listed in the </w:t>
      </w:r>
      <w:r w:rsidR="00D42A40" w:rsidRPr="00FF3406">
        <w:rPr>
          <w:rFonts w:ascii="Century Gothic" w:hAnsi="Century Gothic"/>
          <w:sz w:val="24"/>
          <w:szCs w:val="24"/>
        </w:rPr>
        <w:t xml:space="preserve">LSTA Award Agreement and Certification of Compliance provided with the award packet for this project. </w:t>
      </w:r>
    </w:p>
    <w:p w14:paraId="0C531994" w14:textId="77777777" w:rsidR="000C355E" w:rsidRPr="00FF3406" w:rsidRDefault="00041753" w:rsidP="00D42A40">
      <w:pPr>
        <w:rPr>
          <w:rFonts w:ascii="Century Gothic" w:hAnsi="Century Gothic"/>
          <w:sz w:val="24"/>
          <w:szCs w:val="24"/>
        </w:rPr>
      </w:pPr>
      <w:r w:rsidRPr="00FF3406">
        <w:rPr>
          <w:rFonts w:ascii="Century Gothic" w:hAnsi="Century Gothic"/>
          <w:sz w:val="24"/>
          <w:szCs w:val="24"/>
        </w:rPr>
        <w:t>Awardees complete the financial report on a quarterly basis, unless otherwise specified (please refer to the Award Agreement and Certification of Compliance document for reporting schedule).</w:t>
      </w:r>
      <w:r w:rsidR="000C355E" w:rsidRPr="00FF3406">
        <w:rPr>
          <w:rFonts w:ascii="Century Gothic" w:hAnsi="Century Gothic"/>
          <w:sz w:val="24"/>
          <w:szCs w:val="24"/>
        </w:rPr>
        <w:t xml:space="preserve"> </w:t>
      </w:r>
    </w:p>
    <w:p w14:paraId="4DF87238" w14:textId="687F6CE8" w:rsidR="000C355E" w:rsidRPr="00FF3406" w:rsidRDefault="000C355E" w:rsidP="00D42A40">
      <w:pPr>
        <w:rPr>
          <w:rFonts w:ascii="Century Gothic" w:hAnsi="Century Gothic"/>
          <w:sz w:val="24"/>
          <w:szCs w:val="24"/>
        </w:rPr>
      </w:pPr>
      <w:r w:rsidRPr="00FF3406">
        <w:rPr>
          <w:rFonts w:ascii="Century Gothic" w:hAnsi="Century Gothic"/>
          <w:sz w:val="24"/>
          <w:szCs w:val="24"/>
        </w:rPr>
        <w:t xml:space="preserve">The purpose of this report is to capture quarterly expenditures, allowing the awardee, project advisors, and </w:t>
      </w:r>
      <w:r w:rsidR="5F5104D0" w:rsidRPr="00FF3406">
        <w:rPr>
          <w:rFonts w:ascii="Century Gothic" w:hAnsi="Century Gothic"/>
          <w:sz w:val="24"/>
          <w:szCs w:val="24"/>
        </w:rPr>
        <w:t>State Library</w:t>
      </w:r>
      <w:r w:rsidRPr="00FF3406">
        <w:rPr>
          <w:rFonts w:ascii="Century Gothic" w:hAnsi="Century Gothic"/>
          <w:sz w:val="24"/>
          <w:szCs w:val="24"/>
        </w:rPr>
        <w:t xml:space="preserve"> staff to ensure project spending remains on track.</w:t>
      </w:r>
    </w:p>
    <w:p w14:paraId="70471F4D" w14:textId="7388B8B7" w:rsidR="00931872" w:rsidRPr="00A83FE6" w:rsidRDefault="00234516" w:rsidP="00A83FE6">
      <w:pPr>
        <w:pStyle w:val="Heading2"/>
        <w:rPr>
          <w:rFonts w:ascii="Century Gothic" w:hAnsi="Century Gothic"/>
        </w:rPr>
      </w:pPr>
      <w:r w:rsidRPr="00A83FE6">
        <w:rPr>
          <w:rFonts w:ascii="Century Gothic" w:hAnsi="Century Gothic"/>
        </w:rPr>
        <w:t>Completing the Financial Report</w:t>
      </w:r>
    </w:p>
    <w:p w14:paraId="2B4D0244" w14:textId="0A356307" w:rsidR="00FF75D6" w:rsidRPr="00FF3406" w:rsidRDefault="00830A8B" w:rsidP="0FA92CEE">
      <w:pPr>
        <w:rPr>
          <w:rFonts w:ascii="Century Gothic" w:hAnsi="Century Gothic"/>
          <w:sz w:val="24"/>
          <w:szCs w:val="24"/>
        </w:rPr>
      </w:pPr>
      <w:r w:rsidRPr="0FA92CEE">
        <w:rPr>
          <w:rFonts w:ascii="Century Gothic" w:hAnsi="Century Gothic"/>
          <w:sz w:val="24"/>
          <w:szCs w:val="24"/>
        </w:rPr>
        <w:t xml:space="preserve">All required LSTA reports including the </w:t>
      </w:r>
      <w:r w:rsidR="00B676CE" w:rsidRPr="0FA92CEE">
        <w:rPr>
          <w:rFonts w:ascii="Century Gothic" w:hAnsi="Century Gothic"/>
          <w:sz w:val="24"/>
          <w:szCs w:val="24"/>
        </w:rPr>
        <w:t xml:space="preserve">Financial Report </w:t>
      </w:r>
      <w:r w:rsidRPr="0FA92CEE">
        <w:rPr>
          <w:rFonts w:ascii="Century Gothic" w:hAnsi="Century Gothic"/>
          <w:sz w:val="24"/>
          <w:szCs w:val="24"/>
        </w:rPr>
        <w:t xml:space="preserve">will be completed </w:t>
      </w:r>
      <w:r w:rsidR="00B676CE" w:rsidRPr="0FA92CEE">
        <w:rPr>
          <w:rFonts w:ascii="Century Gothic" w:hAnsi="Century Gothic"/>
          <w:sz w:val="24"/>
          <w:szCs w:val="24"/>
        </w:rPr>
        <w:t xml:space="preserve">in </w:t>
      </w:r>
      <w:r w:rsidRPr="0FA92CEE">
        <w:rPr>
          <w:rFonts w:ascii="Century Gothic" w:hAnsi="Century Gothic"/>
          <w:sz w:val="24"/>
          <w:szCs w:val="24"/>
        </w:rPr>
        <w:t xml:space="preserve">the State Library’s online grants management system, </w:t>
      </w:r>
      <w:proofErr w:type="spellStart"/>
      <w:r w:rsidR="00B676CE" w:rsidRPr="0FA92CEE">
        <w:rPr>
          <w:rFonts w:ascii="Century Gothic" w:hAnsi="Century Gothic"/>
          <w:sz w:val="24"/>
          <w:szCs w:val="24"/>
        </w:rPr>
        <w:t>Zengine</w:t>
      </w:r>
      <w:proofErr w:type="spellEnd"/>
      <w:r w:rsidR="00B676CE" w:rsidRPr="0FA92CEE">
        <w:rPr>
          <w:rFonts w:ascii="Century Gothic" w:hAnsi="Century Gothic"/>
          <w:sz w:val="24"/>
          <w:szCs w:val="24"/>
        </w:rPr>
        <w:t xml:space="preserve">. Please </w:t>
      </w:r>
      <w:r w:rsidR="0073256A" w:rsidRPr="0FA92CEE">
        <w:rPr>
          <w:rFonts w:ascii="Century Gothic" w:hAnsi="Century Gothic"/>
          <w:sz w:val="24"/>
          <w:szCs w:val="24"/>
        </w:rPr>
        <w:t>visit the</w:t>
      </w:r>
      <w:r w:rsidR="00B676CE" w:rsidRPr="0FA92CEE">
        <w:rPr>
          <w:rFonts w:ascii="Century Gothic" w:hAnsi="Century Gothic"/>
          <w:sz w:val="24"/>
          <w:szCs w:val="24"/>
        </w:rPr>
        <w:t xml:space="preserve"> </w:t>
      </w:r>
      <w:hyperlink r:id="rId10">
        <w:r w:rsidR="00151D50" w:rsidRPr="0FA92CEE">
          <w:rPr>
            <w:rStyle w:val="Hyperlink"/>
            <w:rFonts w:ascii="Century Gothic" w:hAnsi="Century Gothic"/>
            <w:sz w:val="24"/>
            <w:szCs w:val="24"/>
          </w:rPr>
          <w:t>Manage Your Current Grant webpage</w:t>
        </w:r>
      </w:hyperlink>
      <w:r w:rsidR="00B676CE" w:rsidRPr="0FA92CEE">
        <w:rPr>
          <w:rFonts w:ascii="Century Gothic" w:hAnsi="Century Gothic"/>
          <w:color w:val="FF0000"/>
          <w:sz w:val="24"/>
          <w:szCs w:val="24"/>
        </w:rPr>
        <w:t xml:space="preserve"> </w:t>
      </w:r>
      <w:r w:rsidR="00B676CE" w:rsidRPr="0FA92CEE">
        <w:rPr>
          <w:rFonts w:ascii="Century Gothic" w:hAnsi="Century Gothic"/>
          <w:sz w:val="24"/>
          <w:szCs w:val="24"/>
        </w:rPr>
        <w:t xml:space="preserve">to </w:t>
      </w:r>
      <w:r w:rsidR="0073256A" w:rsidRPr="0FA92CEE">
        <w:rPr>
          <w:rFonts w:ascii="Century Gothic" w:hAnsi="Century Gothic"/>
          <w:sz w:val="24"/>
          <w:szCs w:val="24"/>
        </w:rPr>
        <w:t xml:space="preserve">locate </w:t>
      </w:r>
      <w:r w:rsidR="00B676CE" w:rsidRPr="0FA92CEE">
        <w:rPr>
          <w:rFonts w:ascii="Century Gothic" w:hAnsi="Century Gothic"/>
          <w:sz w:val="24"/>
          <w:szCs w:val="24"/>
        </w:rPr>
        <w:t xml:space="preserve">the </w:t>
      </w:r>
      <w:proofErr w:type="spellStart"/>
      <w:r w:rsidR="0073256A" w:rsidRPr="0FA92CEE">
        <w:rPr>
          <w:rFonts w:ascii="Century Gothic" w:hAnsi="Century Gothic"/>
          <w:sz w:val="24"/>
          <w:szCs w:val="24"/>
        </w:rPr>
        <w:t>Zengine</w:t>
      </w:r>
      <w:proofErr w:type="spellEnd"/>
      <w:r w:rsidR="0073256A" w:rsidRPr="0FA92CEE">
        <w:rPr>
          <w:rFonts w:ascii="Century Gothic" w:hAnsi="Century Gothic"/>
          <w:sz w:val="24"/>
          <w:szCs w:val="24"/>
        </w:rPr>
        <w:t xml:space="preserve"> portal </w:t>
      </w:r>
      <w:r w:rsidR="009B3C87" w:rsidRPr="0FA92CEE">
        <w:rPr>
          <w:rFonts w:ascii="Century Gothic" w:hAnsi="Century Gothic"/>
          <w:sz w:val="24"/>
          <w:szCs w:val="24"/>
        </w:rPr>
        <w:t xml:space="preserve">link for your grant opportunity. </w:t>
      </w:r>
    </w:p>
    <w:p w14:paraId="57225617" w14:textId="66B5D75F" w:rsidR="00FF75D6" w:rsidRPr="00FF3406" w:rsidRDefault="00234516" w:rsidP="0FA92CEE">
      <w:pPr>
        <w:rPr>
          <w:rFonts w:ascii="Century Gothic" w:hAnsi="Century Gothic"/>
          <w:sz w:val="24"/>
          <w:szCs w:val="24"/>
        </w:rPr>
      </w:pPr>
      <w:r w:rsidRPr="0FA92CEE">
        <w:rPr>
          <w:rFonts w:ascii="Century Gothic" w:hAnsi="Century Gothic"/>
          <w:sz w:val="24"/>
          <w:szCs w:val="24"/>
        </w:rPr>
        <w:t>In co</w:t>
      </w:r>
      <w:r w:rsidR="1C4299AF" w:rsidRPr="0FA92CEE">
        <w:rPr>
          <w:rFonts w:ascii="Century Gothic" w:hAnsi="Century Gothic"/>
          <w:sz w:val="24"/>
          <w:szCs w:val="24"/>
        </w:rPr>
        <w:t>nsultation</w:t>
      </w:r>
      <w:r w:rsidRPr="0FA92CEE">
        <w:rPr>
          <w:rFonts w:ascii="Century Gothic" w:hAnsi="Century Gothic"/>
          <w:sz w:val="24"/>
          <w:szCs w:val="24"/>
        </w:rPr>
        <w:t xml:space="preserve"> with your </w:t>
      </w:r>
      <w:r w:rsidR="3C28B60C" w:rsidRPr="0FA92CEE">
        <w:rPr>
          <w:rFonts w:ascii="Century Gothic" w:eastAsia="Century Gothic" w:hAnsi="Century Gothic" w:cs="Century Gothic"/>
          <w:sz w:val="24"/>
          <w:szCs w:val="24"/>
        </w:rPr>
        <w:t>project support team</w:t>
      </w:r>
      <w:r w:rsidRPr="0FA92CEE">
        <w:rPr>
          <w:rFonts w:ascii="Century Gothic" w:hAnsi="Century Gothic"/>
          <w:sz w:val="24"/>
          <w:szCs w:val="24"/>
        </w:rPr>
        <w:t xml:space="preserve">, complete all applicable fields </w:t>
      </w:r>
      <w:r w:rsidR="009B3C87" w:rsidRPr="0FA92CEE">
        <w:rPr>
          <w:rFonts w:ascii="Century Gothic" w:hAnsi="Century Gothic"/>
          <w:sz w:val="24"/>
          <w:szCs w:val="24"/>
        </w:rPr>
        <w:t>in the</w:t>
      </w:r>
      <w:r w:rsidRPr="0FA92CEE">
        <w:rPr>
          <w:rFonts w:ascii="Century Gothic" w:hAnsi="Century Gothic"/>
          <w:sz w:val="24"/>
          <w:szCs w:val="24"/>
        </w:rPr>
        <w:t xml:space="preserve"> report.</w:t>
      </w:r>
      <w:r w:rsidR="00FF75D6" w:rsidRPr="0FA92CEE">
        <w:rPr>
          <w:rFonts w:ascii="Century Gothic" w:hAnsi="Century Gothic"/>
          <w:sz w:val="24"/>
          <w:szCs w:val="24"/>
        </w:rPr>
        <w:t xml:space="preserve"> </w:t>
      </w:r>
    </w:p>
    <w:p w14:paraId="4B7E9205" w14:textId="189F1B99" w:rsidR="00FF75D6" w:rsidRPr="00FF3406" w:rsidRDefault="009B3C87" w:rsidP="10232E2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10232E2A">
        <w:rPr>
          <w:rFonts w:ascii="Century Gothic" w:hAnsi="Century Gothic"/>
          <w:sz w:val="24"/>
          <w:szCs w:val="24"/>
        </w:rPr>
        <w:t xml:space="preserve">Once you are logged into </w:t>
      </w:r>
      <w:proofErr w:type="spellStart"/>
      <w:r w:rsidRPr="10232E2A">
        <w:rPr>
          <w:rFonts w:ascii="Century Gothic" w:hAnsi="Century Gothic"/>
          <w:sz w:val="24"/>
          <w:szCs w:val="24"/>
        </w:rPr>
        <w:t>Zengine</w:t>
      </w:r>
      <w:proofErr w:type="spellEnd"/>
      <w:r w:rsidRPr="10232E2A">
        <w:rPr>
          <w:rFonts w:ascii="Century Gothic" w:hAnsi="Century Gothic"/>
          <w:sz w:val="24"/>
          <w:szCs w:val="24"/>
        </w:rPr>
        <w:t xml:space="preserve">, click the blue Open button next to the Financial Report. </w:t>
      </w:r>
      <w:r w:rsidR="00C94A41" w:rsidRPr="10232E2A">
        <w:rPr>
          <w:rFonts w:ascii="Century Gothic" w:hAnsi="Century Gothic"/>
          <w:sz w:val="24"/>
          <w:szCs w:val="24"/>
        </w:rPr>
        <w:t xml:space="preserve">Then, click the green New Item button. </w:t>
      </w:r>
      <w:r w:rsidR="00FF75D6" w:rsidRPr="10232E2A">
        <w:rPr>
          <w:rFonts w:ascii="Century Gothic" w:hAnsi="Century Gothic"/>
          <w:sz w:val="24"/>
          <w:szCs w:val="24"/>
        </w:rPr>
        <w:t xml:space="preserve"> </w:t>
      </w:r>
    </w:p>
    <w:p w14:paraId="4D83A36F" w14:textId="19E87F29" w:rsidR="005959AC" w:rsidRPr="00FF3406" w:rsidRDefault="00C94A41" w:rsidP="10232E2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10232E2A">
        <w:rPr>
          <w:rFonts w:ascii="Century Gothic" w:hAnsi="Century Gothic"/>
          <w:sz w:val="24"/>
          <w:szCs w:val="24"/>
        </w:rPr>
        <w:t xml:space="preserve">For each budget category, fill in the dollar amount </w:t>
      </w:r>
      <w:r w:rsidR="000415E4">
        <w:rPr>
          <w:rFonts w:ascii="Century Gothic" w:hAnsi="Century Gothic"/>
          <w:sz w:val="24"/>
          <w:szCs w:val="24"/>
        </w:rPr>
        <w:t xml:space="preserve">of LSTA funding </w:t>
      </w:r>
      <w:r w:rsidRPr="10232E2A">
        <w:rPr>
          <w:rFonts w:ascii="Century Gothic" w:hAnsi="Century Gothic"/>
          <w:sz w:val="24"/>
          <w:szCs w:val="24"/>
        </w:rPr>
        <w:t xml:space="preserve">expended during the project period. </w:t>
      </w:r>
    </w:p>
    <w:p w14:paraId="0230C7A0" w14:textId="31B5705C" w:rsidR="00151D50" w:rsidRPr="00FF3406" w:rsidRDefault="00C94A41" w:rsidP="10232E2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10232E2A">
        <w:rPr>
          <w:rFonts w:ascii="Century Gothic" w:hAnsi="Century Gothic"/>
          <w:sz w:val="24"/>
          <w:szCs w:val="24"/>
        </w:rPr>
        <w:t xml:space="preserve">When complete, select the blue </w:t>
      </w:r>
      <w:r w:rsidR="000415E4">
        <w:rPr>
          <w:rFonts w:ascii="Century Gothic" w:hAnsi="Century Gothic"/>
          <w:sz w:val="24"/>
          <w:szCs w:val="24"/>
        </w:rPr>
        <w:t>“</w:t>
      </w:r>
      <w:r w:rsidRPr="10232E2A">
        <w:rPr>
          <w:rFonts w:ascii="Century Gothic" w:hAnsi="Century Gothic"/>
          <w:sz w:val="24"/>
          <w:szCs w:val="24"/>
        </w:rPr>
        <w:t>Mark Complete</w:t>
      </w:r>
      <w:r w:rsidR="000415E4">
        <w:rPr>
          <w:rFonts w:ascii="Century Gothic" w:hAnsi="Century Gothic"/>
          <w:sz w:val="24"/>
          <w:szCs w:val="24"/>
        </w:rPr>
        <w:t>”</w:t>
      </w:r>
      <w:r w:rsidRPr="10232E2A">
        <w:rPr>
          <w:rFonts w:ascii="Century Gothic" w:hAnsi="Century Gothic"/>
          <w:sz w:val="24"/>
          <w:szCs w:val="24"/>
        </w:rPr>
        <w:t xml:space="preserve"> button.</w:t>
      </w:r>
    </w:p>
    <w:p w14:paraId="6B1C1A3F" w14:textId="1A77CACF" w:rsidR="002138D6" w:rsidRPr="00FF3406" w:rsidRDefault="002138D6" w:rsidP="10232E2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10232E2A">
        <w:rPr>
          <w:rFonts w:ascii="Century Gothic" w:hAnsi="Century Gothic"/>
          <w:sz w:val="24"/>
          <w:szCs w:val="24"/>
        </w:rPr>
        <w:t>Once the report has been submitted</w:t>
      </w:r>
      <w:r w:rsidR="000415E4">
        <w:rPr>
          <w:rFonts w:ascii="Century Gothic" w:hAnsi="Century Gothic"/>
          <w:sz w:val="24"/>
          <w:szCs w:val="24"/>
        </w:rPr>
        <w:t>,</w:t>
      </w:r>
      <w:r w:rsidRPr="10232E2A">
        <w:rPr>
          <w:rFonts w:ascii="Century Gothic" w:hAnsi="Century Gothic"/>
          <w:sz w:val="24"/>
          <w:szCs w:val="24"/>
        </w:rPr>
        <w:t xml:space="preserve"> the Grant Monitor will review your report. </w:t>
      </w:r>
    </w:p>
    <w:p w14:paraId="3027E14B" w14:textId="3B07BD00" w:rsidR="002138D6" w:rsidRPr="00FF3406" w:rsidRDefault="16293594" w:rsidP="002138D6">
      <w:pPr>
        <w:rPr>
          <w:rFonts w:ascii="Century Gothic" w:hAnsi="Century Gothic"/>
          <w:sz w:val="24"/>
          <w:szCs w:val="24"/>
        </w:rPr>
      </w:pPr>
      <w:r w:rsidRPr="0A9724D4">
        <w:rPr>
          <w:rFonts w:ascii="Century Gothic" w:hAnsi="Century Gothic"/>
          <w:sz w:val="24"/>
          <w:szCs w:val="24"/>
        </w:rPr>
        <w:t xml:space="preserve">Upon review, you will receive an email from your grant monitor notifying you that the report has been approved or revisions are needed. If revisions are needed, please </w:t>
      </w:r>
      <w:r w:rsidR="3F1863A9" w:rsidRPr="0A9724D4">
        <w:rPr>
          <w:rFonts w:ascii="Century Gothic" w:hAnsi="Century Gothic"/>
          <w:sz w:val="24"/>
          <w:szCs w:val="24"/>
        </w:rPr>
        <w:t xml:space="preserve">make the requested revisions to </w:t>
      </w:r>
      <w:r w:rsidRPr="0A9724D4">
        <w:rPr>
          <w:rFonts w:ascii="Century Gothic" w:hAnsi="Century Gothic"/>
          <w:sz w:val="24"/>
          <w:szCs w:val="24"/>
        </w:rPr>
        <w:t xml:space="preserve">the report in </w:t>
      </w:r>
      <w:proofErr w:type="spellStart"/>
      <w:r w:rsidRPr="0A9724D4">
        <w:rPr>
          <w:rFonts w:ascii="Century Gothic" w:hAnsi="Century Gothic"/>
          <w:sz w:val="24"/>
          <w:szCs w:val="24"/>
        </w:rPr>
        <w:t>Zengine</w:t>
      </w:r>
      <w:proofErr w:type="spellEnd"/>
      <w:r w:rsidRPr="0A9724D4">
        <w:rPr>
          <w:rFonts w:ascii="Century Gothic" w:hAnsi="Century Gothic"/>
          <w:sz w:val="24"/>
          <w:szCs w:val="24"/>
        </w:rPr>
        <w:t xml:space="preserve"> and resubmit.  </w:t>
      </w:r>
    </w:p>
    <w:p w14:paraId="4978A281" w14:textId="324DA977" w:rsidR="002138D6" w:rsidRPr="00FF3406" w:rsidRDefault="002138D6" w:rsidP="00234516">
      <w:pPr>
        <w:rPr>
          <w:rFonts w:ascii="Century Gothic" w:hAnsi="Century Gothic" w:cs="Arial"/>
          <w:sz w:val="24"/>
          <w:szCs w:val="24"/>
        </w:rPr>
      </w:pPr>
      <w:r w:rsidRPr="00FF3406">
        <w:rPr>
          <w:rFonts w:ascii="Century Gothic" w:hAnsi="Century Gothic" w:cs="Arial"/>
          <w:sz w:val="24"/>
          <w:szCs w:val="24"/>
        </w:rPr>
        <w:t xml:space="preserve">Once </w:t>
      </w:r>
      <w:r w:rsidR="00AE530E">
        <w:rPr>
          <w:rFonts w:ascii="Century Gothic" w:hAnsi="Century Gothic" w:cs="Arial"/>
          <w:sz w:val="24"/>
          <w:szCs w:val="24"/>
        </w:rPr>
        <w:t xml:space="preserve">the report is </w:t>
      </w:r>
      <w:r w:rsidRPr="00FF3406">
        <w:rPr>
          <w:rFonts w:ascii="Century Gothic" w:hAnsi="Century Gothic" w:cs="Arial"/>
          <w:sz w:val="24"/>
          <w:szCs w:val="24"/>
        </w:rPr>
        <w:t xml:space="preserve">approved, the grant monitor will send the report for signature via DocuSign. An email notification from DocuSign will be sent requesting the authorized representative’s signature. </w:t>
      </w:r>
      <w:r w:rsidR="00EB4203">
        <w:rPr>
          <w:rFonts w:ascii="Century Gothic" w:hAnsi="Century Gothic" w:cs="Arial"/>
          <w:sz w:val="24"/>
          <w:szCs w:val="24"/>
        </w:rPr>
        <w:t>F</w:t>
      </w:r>
      <w:r w:rsidRPr="00FF3406">
        <w:rPr>
          <w:rFonts w:ascii="Century Gothic" w:hAnsi="Century Gothic" w:cs="Arial"/>
          <w:sz w:val="24"/>
          <w:szCs w:val="24"/>
        </w:rPr>
        <w:t>ollow the DocuSign instructions to complete the electronic signature process. The report is not considered complete until the DocuSign signature process is complete.</w:t>
      </w:r>
    </w:p>
    <w:p w14:paraId="04E28C1F" w14:textId="272C00A3" w:rsidR="00B802D1" w:rsidRPr="00512B05" w:rsidRDefault="696E6B32" w:rsidP="00512B05">
      <w:pPr>
        <w:pStyle w:val="Heading2"/>
        <w:rPr>
          <w:rFonts w:ascii="Century Gothic" w:hAnsi="Century Gothic"/>
        </w:rPr>
      </w:pPr>
      <w:r w:rsidRPr="0A9724D4">
        <w:rPr>
          <w:rFonts w:ascii="Century Gothic" w:hAnsi="Century Gothic"/>
        </w:rPr>
        <w:lastRenderedPageBreak/>
        <w:t>Outstanding encumbrances at project end and liquidation</w:t>
      </w:r>
    </w:p>
    <w:p w14:paraId="347C6EEF" w14:textId="2DD52525" w:rsidR="00AB6147" w:rsidRPr="00FF3406" w:rsidRDefault="00B802D1" w:rsidP="5A615296">
      <w:pPr>
        <w:pStyle w:val="ListParagraph"/>
        <w:ind w:left="0"/>
        <w:rPr>
          <w:rFonts w:ascii="Century Gothic" w:hAnsi="Century Gothic"/>
          <w:sz w:val="24"/>
          <w:szCs w:val="24"/>
        </w:rPr>
      </w:pPr>
      <w:r w:rsidRPr="00FF3406">
        <w:rPr>
          <w:rFonts w:ascii="Century Gothic" w:hAnsi="Century Gothic"/>
          <w:sz w:val="24"/>
          <w:szCs w:val="24"/>
        </w:rPr>
        <w:t xml:space="preserve">Once the project period has ended, no new expenditures may be generated, nor may any additional project activities occur. </w:t>
      </w:r>
    </w:p>
    <w:p w14:paraId="7627C31C" w14:textId="2935BB4E" w:rsidR="00D477D4" w:rsidRPr="00FF3406" w:rsidRDefault="00D477D4" w:rsidP="5A615296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7834ECA0" w14:textId="33B4D7CD" w:rsidR="00C8541D" w:rsidRPr="00FF3406" w:rsidRDefault="52DE0B4B" w:rsidP="5A615296">
      <w:pPr>
        <w:pStyle w:val="ListParagraph"/>
        <w:ind w:left="0"/>
        <w:rPr>
          <w:rFonts w:ascii="Century Gothic" w:hAnsi="Century Gothic"/>
          <w:sz w:val="24"/>
          <w:szCs w:val="24"/>
        </w:rPr>
      </w:pPr>
      <w:r w:rsidRPr="0A9724D4">
        <w:rPr>
          <w:rFonts w:ascii="Century Gothic" w:hAnsi="Century Gothic"/>
          <w:sz w:val="24"/>
          <w:szCs w:val="24"/>
        </w:rPr>
        <w:t>If</w:t>
      </w:r>
      <w:r w:rsidR="716E5FD9" w:rsidRPr="0A9724D4">
        <w:rPr>
          <w:rFonts w:ascii="Century Gothic" w:hAnsi="Century Gothic"/>
          <w:sz w:val="24"/>
          <w:szCs w:val="24"/>
        </w:rPr>
        <w:t xml:space="preserve"> unexpended funds </w:t>
      </w:r>
      <w:r w:rsidRPr="0A9724D4">
        <w:rPr>
          <w:rFonts w:ascii="Century Gothic" w:hAnsi="Century Gothic"/>
          <w:sz w:val="24"/>
          <w:szCs w:val="24"/>
        </w:rPr>
        <w:t>are</w:t>
      </w:r>
      <w:r w:rsidR="716E5FD9" w:rsidRPr="0A9724D4">
        <w:rPr>
          <w:rFonts w:ascii="Century Gothic" w:hAnsi="Century Gothic"/>
          <w:sz w:val="24"/>
          <w:szCs w:val="24"/>
        </w:rPr>
        <w:t xml:space="preserve"> encumbered prior to the </w:t>
      </w:r>
      <w:r w:rsidRPr="0A9724D4">
        <w:rPr>
          <w:rFonts w:ascii="Century Gothic" w:hAnsi="Century Gothic"/>
          <w:sz w:val="24"/>
          <w:szCs w:val="24"/>
        </w:rPr>
        <w:t xml:space="preserve">project </w:t>
      </w:r>
      <w:r w:rsidR="716E5FD9" w:rsidRPr="0A9724D4">
        <w:rPr>
          <w:rFonts w:ascii="Century Gothic" w:hAnsi="Century Gothic"/>
          <w:sz w:val="24"/>
          <w:szCs w:val="24"/>
        </w:rPr>
        <w:t xml:space="preserve">end date, awardees are allowed </w:t>
      </w:r>
      <w:r w:rsidR="716E5FD9" w:rsidRPr="0A9724D4">
        <w:rPr>
          <w:rFonts w:ascii="Century Gothic" w:hAnsi="Century Gothic"/>
          <w:b/>
          <w:bCs/>
          <w:sz w:val="24"/>
          <w:szCs w:val="24"/>
        </w:rPr>
        <w:t>45 days</w:t>
      </w:r>
      <w:r w:rsidR="716E5FD9" w:rsidRPr="0A9724D4">
        <w:rPr>
          <w:rFonts w:ascii="Century Gothic" w:hAnsi="Century Gothic"/>
          <w:sz w:val="24"/>
          <w:szCs w:val="24"/>
        </w:rPr>
        <w:t xml:space="preserve"> to liquidate those encumbrances and must submit a </w:t>
      </w:r>
      <w:r w:rsidR="716E5FD9" w:rsidRPr="0A9724D4">
        <w:rPr>
          <w:rFonts w:ascii="Century Gothic" w:hAnsi="Century Gothic"/>
          <w:b/>
          <w:bCs/>
          <w:sz w:val="24"/>
          <w:szCs w:val="24"/>
        </w:rPr>
        <w:t>liquidation report</w:t>
      </w:r>
      <w:r w:rsidR="716E5FD9" w:rsidRPr="0A9724D4">
        <w:rPr>
          <w:rFonts w:ascii="Century Gothic" w:hAnsi="Century Gothic"/>
          <w:sz w:val="24"/>
          <w:szCs w:val="24"/>
        </w:rPr>
        <w:t xml:space="preserve"> showing this</w:t>
      </w:r>
      <w:r w:rsidR="51B4CA3C" w:rsidRPr="0A9724D4">
        <w:rPr>
          <w:rFonts w:ascii="Century Gothic" w:hAnsi="Century Gothic"/>
          <w:sz w:val="24"/>
          <w:szCs w:val="24"/>
        </w:rPr>
        <w:t xml:space="preserve"> </w:t>
      </w:r>
      <w:r w:rsidR="51B4CA3C" w:rsidRPr="0A9724D4">
        <w:rPr>
          <w:rFonts w:ascii="Century Gothic" w:hAnsi="Century Gothic"/>
          <w:b/>
          <w:bCs/>
          <w:sz w:val="24"/>
          <w:szCs w:val="24"/>
        </w:rPr>
        <w:t xml:space="preserve">within 60 days </w:t>
      </w:r>
      <w:r w:rsidR="51B4CA3C" w:rsidRPr="0A9724D4">
        <w:rPr>
          <w:rFonts w:ascii="Century Gothic" w:hAnsi="Century Gothic"/>
          <w:sz w:val="24"/>
          <w:szCs w:val="24"/>
        </w:rPr>
        <w:t>following the project end date</w:t>
      </w:r>
      <w:r w:rsidR="716E5FD9" w:rsidRPr="0A9724D4">
        <w:rPr>
          <w:rFonts w:ascii="Century Gothic" w:hAnsi="Century Gothic"/>
          <w:sz w:val="24"/>
          <w:szCs w:val="24"/>
        </w:rPr>
        <w:t>.</w:t>
      </w:r>
    </w:p>
    <w:p w14:paraId="3E96DF27" w14:textId="60E8B9DA" w:rsidR="004E57B0" w:rsidRDefault="50D77F37" w:rsidP="5A615296">
      <w:pPr>
        <w:pStyle w:val="ListParagraph"/>
        <w:ind w:left="0"/>
        <w:rPr>
          <w:rFonts w:ascii="Century Gothic" w:hAnsi="Century Gothic"/>
          <w:sz w:val="24"/>
          <w:szCs w:val="24"/>
        </w:rPr>
      </w:pPr>
      <w:r w:rsidRPr="0A9724D4">
        <w:rPr>
          <w:rFonts w:ascii="Century Gothic" w:hAnsi="Century Gothic"/>
          <w:sz w:val="24"/>
          <w:szCs w:val="24"/>
        </w:rPr>
        <w:t>O</w:t>
      </w:r>
      <w:r w:rsidR="716E5FD9" w:rsidRPr="0A9724D4">
        <w:rPr>
          <w:rFonts w:ascii="Century Gothic" w:hAnsi="Century Gothic"/>
          <w:sz w:val="24"/>
          <w:szCs w:val="24"/>
        </w:rPr>
        <w:t xml:space="preserve">utstanding encumbrances must </w:t>
      </w:r>
      <w:r w:rsidR="7481B7C1" w:rsidRPr="0A9724D4">
        <w:rPr>
          <w:rFonts w:ascii="Century Gothic" w:hAnsi="Century Gothic"/>
          <w:sz w:val="24"/>
          <w:szCs w:val="24"/>
        </w:rPr>
        <w:t>align with all LSTA rules, regulations</w:t>
      </w:r>
      <w:r w:rsidRPr="0A9724D4">
        <w:rPr>
          <w:rFonts w:ascii="Century Gothic" w:hAnsi="Century Gothic"/>
          <w:sz w:val="24"/>
          <w:szCs w:val="24"/>
        </w:rPr>
        <w:t>,</w:t>
      </w:r>
      <w:r w:rsidR="7481B7C1" w:rsidRPr="0A9724D4">
        <w:rPr>
          <w:rFonts w:ascii="Century Gothic" w:hAnsi="Century Gothic"/>
          <w:sz w:val="24"/>
          <w:szCs w:val="24"/>
        </w:rPr>
        <w:t xml:space="preserve"> and allowable cost requirements. </w:t>
      </w:r>
      <w:r w:rsidRPr="0A9724D4">
        <w:rPr>
          <w:rFonts w:ascii="Century Gothic" w:hAnsi="Century Gothic"/>
          <w:sz w:val="24"/>
          <w:szCs w:val="24"/>
        </w:rPr>
        <w:t xml:space="preserve">These encumbrances must support allowable project costs and activities that were incurred/took place during the project period. </w:t>
      </w:r>
    </w:p>
    <w:p w14:paraId="128B20B9" w14:textId="77777777" w:rsidR="00D75D05" w:rsidRDefault="00D75D05" w:rsidP="5A615296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5253BABF" w14:textId="17C53362" w:rsidR="53611FD4" w:rsidRDefault="53611FD4" w:rsidP="32F0279C">
      <w:pPr>
        <w:pStyle w:val="ListParagraph"/>
        <w:ind w:left="0"/>
        <w:rPr>
          <w:rFonts w:ascii="Century Gothic" w:eastAsia="Century Gothic" w:hAnsi="Century Gothic" w:cs="Century Gothic"/>
          <w:sz w:val="24"/>
          <w:szCs w:val="24"/>
        </w:rPr>
      </w:pPr>
      <w:r w:rsidRPr="0DB81D69">
        <w:rPr>
          <w:rFonts w:ascii="Century Gothic" w:hAnsi="Century Gothic"/>
          <w:sz w:val="24"/>
          <w:szCs w:val="24"/>
        </w:rPr>
        <w:t>A</w:t>
      </w:r>
      <w:r w:rsidR="7AE7B849" w:rsidRPr="0DB81D69">
        <w:rPr>
          <w:rFonts w:ascii="Century Gothic" w:hAnsi="Century Gothic"/>
          <w:sz w:val="24"/>
          <w:szCs w:val="24"/>
        </w:rPr>
        <w:t xml:space="preserve">ll </w:t>
      </w:r>
      <w:r w:rsidR="05B6E96F" w:rsidRPr="0DB81D69">
        <w:rPr>
          <w:rFonts w:ascii="Century Gothic" w:hAnsi="Century Gothic"/>
          <w:sz w:val="24"/>
          <w:szCs w:val="24"/>
        </w:rPr>
        <w:t>grant</w:t>
      </w:r>
      <w:r w:rsidR="7AE7B849" w:rsidRPr="0DB81D69">
        <w:rPr>
          <w:rFonts w:ascii="Century Gothic" w:hAnsi="Century Gothic"/>
          <w:sz w:val="24"/>
          <w:szCs w:val="24"/>
        </w:rPr>
        <w:t xml:space="preserve"> funds should be expended in </w:t>
      </w:r>
      <w:r w:rsidR="7745909C" w:rsidRPr="0DB81D69">
        <w:rPr>
          <w:rFonts w:ascii="Century Gothic" w:hAnsi="Century Gothic"/>
          <w:sz w:val="24"/>
          <w:szCs w:val="24"/>
        </w:rPr>
        <w:t xml:space="preserve">full in </w:t>
      </w:r>
      <w:r w:rsidR="7AE7B849" w:rsidRPr="0DB81D69">
        <w:rPr>
          <w:rFonts w:ascii="Century Gothic" w:hAnsi="Century Gothic"/>
          <w:sz w:val="24"/>
          <w:szCs w:val="24"/>
        </w:rPr>
        <w:t xml:space="preserve">support of approved project activities and goals. </w:t>
      </w:r>
      <w:r w:rsidR="71764A30" w:rsidRPr="0DB81D69">
        <w:rPr>
          <w:rFonts w:ascii="Century Gothic" w:hAnsi="Century Gothic"/>
          <w:sz w:val="24"/>
          <w:szCs w:val="24"/>
        </w:rPr>
        <w:t xml:space="preserve">If </w:t>
      </w:r>
      <w:r w:rsidR="715BFBFC" w:rsidRPr="0DB81D69">
        <w:rPr>
          <w:rFonts w:ascii="Century Gothic" w:hAnsi="Century Gothic"/>
          <w:sz w:val="24"/>
          <w:szCs w:val="24"/>
        </w:rPr>
        <w:t xml:space="preserve">your </w:t>
      </w:r>
      <w:r w:rsidR="71764A30" w:rsidRPr="0DB81D69">
        <w:rPr>
          <w:rFonts w:ascii="Century Gothic" w:hAnsi="Century Gothic"/>
          <w:sz w:val="24"/>
          <w:szCs w:val="24"/>
        </w:rPr>
        <w:t xml:space="preserve">project plans change </w:t>
      </w:r>
      <w:r w:rsidR="60C4AF7C" w:rsidRPr="0DB81D69">
        <w:rPr>
          <w:rFonts w:ascii="Century Gothic" w:hAnsi="Century Gothic"/>
          <w:sz w:val="24"/>
          <w:szCs w:val="24"/>
        </w:rPr>
        <w:t xml:space="preserve">during the year </w:t>
      </w:r>
      <w:r w:rsidR="71764A30" w:rsidRPr="0DB81D69">
        <w:rPr>
          <w:rFonts w:ascii="Century Gothic" w:hAnsi="Century Gothic"/>
          <w:sz w:val="24"/>
          <w:szCs w:val="24"/>
        </w:rPr>
        <w:t xml:space="preserve">and </w:t>
      </w:r>
      <w:r w:rsidR="27149244" w:rsidRPr="0DB81D69">
        <w:rPr>
          <w:rFonts w:ascii="Century Gothic" w:hAnsi="Century Gothic"/>
          <w:sz w:val="24"/>
          <w:szCs w:val="24"/>
        </w:rPr>
        <w:t>you</w:t>
      </w:r>
      <w:r w:rsidR="455F9F19" w:rsidRPr="0DB81D69">
        <w:rPr>
          <w:rFonts w:ascii="Century Gothic" w:hAnsi="Century Gothic"/>
          <w:sz w:val="24"/>
          <w:szCs w:val="24"/>
        </w:rPr>
        <w:t xml:space="preserve"> </w:t>
      </w:r>
      <w:r w:rsidR="7AE7B849" w:rsidRPr="0DB81D69">
        <w:rPr>
          <w:rFonts w:ascii="Century Gothic" w:hAnsi="Century Gothic"/>
          <w:sz w:val="24"/>
          <w:szCs w:val="24"/>
        </w:rPr>
        <w:t xml:space="preserve">anticipate not spending </w:t>
      </w:r>
      <w:r w:rsidR="5610E931" w:rsidRPr="0DB81D69">
        <w:rPr>
          <w:rFonts w:ascii="Century Gothic" w:hAnsi="Century Gothic"/>
          <w:sz w:val="24"/>
          <w:szCs w:val="24"/>
        </w:rPr>
        <w:t>your grant</w:t>
      </w:r>
      <w:r w:rsidR="7AE7B849" w:rsidRPr="0DB81D69">
        <w:rPr>
          <w:rFonts w:ascii="Century Gothic" w:hAnsi="Century Gothic"/>
          <w:sz w:val="24"/>
          <w:szCs w:val="24"/>
        </w:rPr>
        <w:t xml:space="preserve"> funds</w:t>
      </w:r>
      <w:r w:rsidR="59CF3943" w:rsidRPr="0DB81D69">
        <w:rPr>
          <w:rFonts w:ascii="Century Gothic" w:hAnsi="Century Gothic"/>
          <w:sz w:val="24"/>
          <w:szCs w:val="24"/>
        </w:rPr>
        <w:t xml:space="preserve"> in full</w:t>
      </w:r>
      <w:r w:rsidR="0E9B046E" w:rsidRPr="0DB81D69">
        <w:rPr>
          <w:rFonts w:ascii="Century Gothic" w:hAnsi="Century Gothic"/>
          <w:sz w:val="24"/>
          <w:szCs w:val="24"/>
        </w:rPr>
        <w:t>,</w:t>
      </w:r>
      <w:r w:rsidR="09528E10" w:rsidRPr="0DB81D69">
        <w:rPr>
          <w:rFonts w:ascii="Century Gothic" w:hAnsi="Century Gothic"/>
          <w:sz w:val="24"/>
          <w:szCs w:val="24"/>
        </w:rPr>
        <w:t xml:space="preserve"> contact your</w:t>
      </w:r>
      <w:r w:rsidR="7AE7B849" w:rsidRPr="0DB81D69">
        <w:rPr>
          <w:rFonts w:ascii="Century Gothic" w:hAnsi="Century Gothic"/>
          <w:sz w:val="24"/>
          <w:szCs w:val="24"/>
        </w:rPr>
        <w:t xml:space="preserve"> </w:t>
      </w:r>
      <w:r w:rsidR="78B5DAE7" w:rsidRPr="0DB81D69">
        <w:rPr>
          <w:rFonts w:ascii="Century Gothic" w:eastAsia="Century Gothic" w:hAnsi="Century Gothic" w:cs="Century Gothic"/>
          <w:sz w:val="24"/>
          <w:szCs w:val="24"/>
        </w:rPr>
        <w:t>project support team</w:t>
      </w:r>
      <w:r w:rsidR="05EF742F" w:rsidRPr="0DB81D69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4AC885F5" w:rsidRPr="0DB81D69">
        <w:rPr>
          <w:rFonts w:ascii="Century Gothic" w:eastAsia="Century Gothic" w:hAnsi="Century Gothic" w:cs="Century Gothic"/>
          <w:sz w:val="24"/>
          <w:szCs w:val="24"/>
        </w:rPr>
        <w:t>as soon as possible</w:t>
      </w:r>
      <w:r w:rsidR="7D844537" w:rsidRPr="0DB81D69">
        <w:rPr>
          <w:rFonts w:ascii="Century Gothic" w:eastAsia="Century Gothic" w:hAnsi="Century Gothic" w:cs="Century Gothic"/>
          <w:sz w:val="24"/>
          <w:szCs w:val="24"/>
        </w:rPr>
        <w:t xml:space="preserve"> so that</w:t>
      </w:r>
      <w:r w:rsidR="50E81354" w:rsidRPr="0DB81D69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7DA67A30" w:rsidRPr="0DB81D69">
        <w:rPr>
          <w:rFonts w:ascii="Century Gothic" w:eastAsia="Century Gothic" w:hAnsi="Century Gothic" w:cs="Century Gothic"/>
          <w:sz w:val="24"/>
          <w:szCs w:val="24"/>
        </w:rPr>
        <w:t xml:space="preserve">the </w:t>
      </w:r>
      <w:r w:rsidR="50E81354" w:rsidRPr="0DB81D69">
        <w:rPr>
          <w:rFonts w:ascii="Century Gothic" w:eastAsia="Century Gothic" w:hAnsi="Century Gothic" w:cs="Century Gothic"/>
          <w:sz w:val="24"/>
          <w:szCs w:val="24"/>
        </w:rPr>
        <w:t>funds can be returned to the State Library and re-awarded to support another project.</w:t>
      </w:r>
    </w:p>
    <w:p w14:paraId="7072B077" w14:textId="04EE384E" w:rsidR="32F0279C" w:rsidRDefault="32F0279C" w:rsidP="32F0279C">
      <w:pPr>
        <w:pStyle w:val="ListParagraph"/>
        <w:ind w:left="0"/>
        <w:rPr>
          <w:rFonts w:ascii="Century Gothic" w:eastAsia="Century Gothic" w:hAnsi="Century Gothic" w:cs="Century Gothic"/>
          <w:sz w:val="24"/>
          <w:szCs w:val="24"/>
        </w:rPr>
      </w:pPr>
    </w:p>
    <w:p w14:paraId="2B001B6D" w14:textId="027FB02B" w:rsidR="00D75D05" w:rsidRPr="00FF3406" w:rsidRDefault="0CC4DD76" w:rsidP="5A615296">
      <w:pPr>
        <w:pStyle w:val="ListParagraph"/>
        <w:ind w:left="0"/>
        <w:rPr>
          <w:rFonts w:ascii="Century Gothic" w:hAnsi="Century Gothic"/>
          <w:sz w:val="24"/>
          <w:szCs w:val="24"/>
        </w:rPr>
      </w:pPr>
      <w:r w:rsidRPr="32F0279C">
        <w:rPr>
          <w:rFonts w:ascii="Century Gothic" w:eastAsia="Century Gothic" w:hAnsi="Century Gothic" w:cs="Century Gothic"/>
          <w:sz w:val="24"/>
          <w:szCs w:val="24"/>
        </w:rPr>
        <w:t xml:space="preserve">If any funds </w:t>
      </w:r>
      <w:r w:rsidR="1B043663" w:rsidRPr="32F0279C">
        <w:rPr>
          <w:rFonts w:ascii="Century Gothic" w:eastAsia="Century Gothic" w:hAnsi="Century Gothic" w:cs="Century Gothic"/>
          <w:sz w:val="24"/>
          <w:szCs w:val="24"/>
        </w:rPr>
        <w:t xml:space="preserve">do </w:t>
      </w:r>
      <w:r w:rsidRPr="32F0279C">
        <w:rPr>
          <w:rFonts w:ascii="Century Gothic" w:eastAsia="Century Gothic" w:hAnsi="Century Gothic" w:cs="Century Gothic"/>
          <w:sz w:val="24"/>
          <w:szCs w:val="24"/>
        </w:rPr>
        <w:t>remain</w:t>
      </w:r>
      <w:r w:rsidR="69C58DD7" w:rsidRPr="32F0279C">
        <w:rPr>
          <w:rFonts w:ascii="Century Gothic" w:eastAsia="Century Gothic" w:hAnsi="Century Gothic" w:cs="Century Gothic"/>
          <w:sz w:val="24"/>
          <w:szCs w:val="24"/>
        </w:rPr>
        <w:t xml:space="preserve"> unexpended</w:t>
      </w:r>
      <w:r w:rsidRPr="32F0279C">
        <w:rPr>
          <w:rFonts w:ascii="Century Gothic" w:eastAsia="Century Gothic" w:hAnsi="Century Gothic" w:cs="Century Gothic"/>
          <w:sz w:val="24"/>
          <w:szCs w:val="24"/>
        </w:rPr>
        <w:t xml:space="preserve"> at the end of the project </w:t>
      </w:r>
      <w:proofErr w:type="gramStart"/>
      <w:r w:rsidRPr="32F0279C">
        <w:rPr>
          <w:rFonts w:ascii="Century Gothic" w:eastAsia="Century Gothic" w:hAnsi="Century Gothic" w:cs="Century Gothic"/>
          <w:sz w:val="24"/>
          <w:szCs w:val="24"/>
        </w:rPr>
        <w:t xml:space="preserve">period, </w:t>
      </w:r>
      <w:r w:rsidR="00D75D05">
        <w:rPr>
          <w:rFonts w:ascii="Century Gothic" w:hAnsi="Century Gothic"/>
          <w:sz w:val="24"/>
          <w:szCs w:val="24"/>
        </w:rPr>
        <w:t xml:space="preserve"> </w:t>
      </w:r>
      <w:r w:rsidR="32CF0381" w:rsidRPr="32F0279C">
        <w:rPr>
          <w:rFonts w:ascii="Century Gothic" w:hAnsi="Century Gothic"/>
          <w:sz w:val="24"/>
          <w:szCs w:val="24"/>
        </w:rPr>
        <w:t>they</w:t>
      </w:r>
      <w:proofErr w:type="gramEnd"/>
      <w:r w:rsidR="32CF0381" w:rsidRPr="32F0279C">
        <w:rPr>
          <w:rFonts w:ascii="Century Gothic" w:hAnsi="Century Gothic"/>
          <w:sz w:val="24"/>
          <w:szCs w:val="24"/>
        </w:rPr>
        <w:t xml:space="preserve"> </w:t>
      </w:r>
      <w:r w:rsidR="00D75D05">
        <w:rPr>
          <w:rFonts w:ascii="Century Gothic" w:hAnsi="Century Gothic"/>
          <w:sz w:val="24"/>
          <w:szCs w:val="24"/>
        </w:rPr>
        <w:t>must be returned following the project end date and submission of final reports.</w:t>
      </w:r>
      <w:r w:rsidR="5BFE790C" w:rsidRPr="32F0279C">
        <w:rPr>
          <w:rFonts w:ascii="Century Gothic" w:hAnsi="Century Gothic"/>
          <w:sz w:val="24"/>
          <w:szCs w:val="24"/>
        </w:rPr>
        <w:t xml:space="preserve"> These funds cannot be re-awarded to another project and must be returned by the State Library to the Institute of Museum and Library Services.</w:t>
      </w:r>
    </w:p>
    <w:p w14:paraId="28EDC770" w14:textId="77777777" w:rsidR="001C51D4" w:rsidRPr="00FF3406" w:rsidRDefault="001C51D4" w:rsidP="5A615296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5E212DA7" w14:textId="5C951A09" w:rsidR="00B802D1" w:rsidRPr="00FF3406" w:rsidRDefault="00B802D1" w:rsidP="5A615296">
      <w:pPr>
        <w:pStyle w:val="ListParagraph"/>
        <w:ind w:left="0"/>
        <w:rPr>
          <w:rFonts w:ascii="Century Gothic" w:hAnsi="Century Gothic"/>
          <w:sz w:val="24"/>
          <w:szCs w:val="24"/>
        </w:rPr>
      </w:pPr>
      <w:r w:rsidRPr="0FA92CEE">
        <w:rPr>
          <w:rFonts w:ascii="Century Gothic" w:hAnsi="Century Gothic"/>
          <w:sz w:val="24"/>
          <w:szCs w:val="24"/>
        </w:rPr>
        <w:t xml:space="preserve">Any funds not liquidated are to be captured on the liquidation report which is to be returned within </w:t>
      </w:r>
      <w:r w:rsidRPr="0FA92CEE">
        <w:rPr>
          <w:rFonts w:ascii="Century Gothic" w:hAnsi="Century Gothic"/>
          <w:b/>
          <w:bCs/>
          <w:sz w:val="24"/>
          <w:szCs w:val="24"/>
        </w:rPr>
        <w:t>60 days</w:t>
      </w:r>
      <w:r w:rsidRPr="0FA92CEE">
        <w:rPr>
          <w:rFonts w:ascii="Century Gothic" w:hAnsi="Century Gothic"/>
          <w:sz w:val="24"/>
          <w:szCs w:val="24"/>
        </w:rPr>
        <w:t xml:space="preserve"> of the project end date. The State Library’s Fiscal team will </w:t>
      </w:r>
      <w:r w:rsidR="00D75D05" w:rsidRPr="0FA92CEE">
        <w:rPr>
          <w:rFonts w:ascii="Century Gothic" w:hAnsi="Century Gothic"/>
          <w:sz w:val="24"/>
          <w:szCs w:val="24"/>
        </w:rPr>
        <w:t>contact you</w:t>
      </w:r>
      <w:r w:rsidRPr="0FA92CEE">
        <w:rPr>
          <w:rFonts w:ascii="Century Gothic" w:hAnsi="Century Gothic"/>
          <w:sz w:val="24"/>
          <w:szCs w:val="24"/>
        </w:rPr>
        <w:t xml:space="preserve"> following the submission of liquidation reports that involve unexpended funds and provide instructions for returning project funds to the State Library. </w:t>
      </w:r>
    </w:p>
    <w:p w14:paraId="67380E3E" w14:textId="14578850" w:rsidR="0FA92CEE" w:rsidRDefault="0FA92CEE" w:rsidP="0FA92CEE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0C6CE4BC" w14:textId="353E6487" w:rsidR="0730E7FE" w:rsidRDefault="0730E7FE" w:rsidP="0FA92CEE">
      <w:pPr>
        <w:pStyle w:val="Heading2"/>
        <w:rPr>
          <w:rFonts w:ascii="Century Gothic" w:eastAsia="Century Gothic" w:hAnsi="Century Gothic" w:cs="Century Gothic"/>
          <w:color w:val="4472C4" w:themeColor="accent5"/>
        </w:rPr>
      </w:pPr>
      <w:r w:rsidRPr="0FA92CEE">
        <w:rPr>
          <w:rFonts w:ascii="Century Gothic" w:eastAsia="Century Gothic" w:hAnsi="Century Gothic" w:cs="Century Gothic"/>
          <w:color w:val="4472C4" w:themeColor="accent5"/>
        </w:rPr>
        <w:t>Further Assistance</w:t>
      </w:r>
    </w:p>
    <w:p w14:paraId="380737AD" w14:textId="180E8AF9" w:rsidR="0730E7FE" w:rsidRDefault="0730E7FE" w:rsidP="0FA92CEE">
      <w:pPr>
        <w:ind w:right="36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FA92CEE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Your project support team is available to provide support to you while you complete your reports. </w:t>
      </w:r>
    </w:p>
    <w:p w14:paraId="60669F93" w14:textId="5C4C2B3A" w:rsidR="0730E7FE" w:rsidRDefault="0730E7FE" w:rsidP="0FA92CEE">
      <w:pPr>
        <w:ind w:right="36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FA92CEE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If you need additional assistance completing this report or for questions regarding </w:t>
      </w:r>
      <w:proofErr w:type="spellStart"/>
      <w:r w:rsidRPr="0FA92CEE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Zengine</w:t>
      </w:r>
      <w:proofErr w:type="spellEnd"/>
      <w:r w:rsidRPr="0FA92CEE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, please contact your Grant Monitor. </w:t>
      </w:r>
    </w:p>
    <w:p w14:paraId="3D9F07CC" w14:textId="2CC064CB" w:rsidR="0730E7FE" w:rsidRDefault="0730E7FE" w:rsidP="0FA92CEE">
      <w:pPr>
        <w:ind w:right="36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FA92CEE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If you are not sure who your Grant Monitor is, please refer to your project’s award letter included in your award packet or contact </w:t>
      </w:r>
      <w:hyperlink r:id="rId11">
        <w:r w:rsidRPr="0FA92CEE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LSTAGrants@library.ca.gov</w:t>
        </w:r>
      </w:hyperlink>
      <w:r w:rsidRPr="0FA92CEE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.</w:t>
      </w:r>
    </w:p>
    <w:p w14:paraId="3F35115F" w14:textId="77777777" w:rsidR="000C355E" w:rsidRPr="00151D50" w:rsidRDefault="000C355E" w:rsidP="002A1C5A">
      <w:pPr>
        <w:rPr>
          <w:rFonts w:ascii="Verdana" w:hAnsi="Verdana" w:cs="Arial"/>
          <w:sz w:val="24"/>
          <w:szCs w:val="24"/>
        </w:rPr>
      </w:pPr>
    </w:p>
    <w:sectPr w:rsidR="000C355E" w:rsidRPr="00151D50" w:rsidSect="00B676CE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C6BC4" w14:textId="77777777" w:rsidR="006D3214" w:rsidRDefault="006D3214" w:rsidP="00B676CE">
      <w:pPr>
        <w:spacing w:after="0" w:line="240" w:lineRule="auto"/>
      </w:pPr>
      <w:r>
        <w:separator/>
      </w:r>
    </w:p>
  </w:endnote>
  <w:endnote w:type="continuationSeparator" w:id="0">
    <w:p w14:paraId="1DFA6BBC" w14:textId="77777777" w:rsidR="006D3214" w:rsidRDefault="006D3214" w:rsidP="00B676CE">
      <w:pPr>
        <w:spacing w:after="0" w:line="240" w:lineRule="auto"/>
      </w:pPr>
      <w:r>
        <w:continuationSeparator/>
      </w:r>
    </w:p>
  </w:endnote>
  <w:endnote w:type="continuationNotice" w:id="1">
    <w:p w14:paraId="4B724FD0" w14:textId="77777777" w:rsidR="006D3214" w:rsidRDefault="006D32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1E2B" w14:textId="2D994A6C" w:rsidR="00FF3406" w:rsidRPr="00FF3406" w:rsidRDefault="5F1E5E54" w:rsidP="00FF3406">
    <w:pPr>
      <w:pStyle w:val="Footer"/>
      <w:jc w:val="right"/>
      <w:rPr>
        <w:rFonts w:ascii="Century Gothic" w:hAnsi="Century Gothic"/>
      </w:rPr>
    </w:pPr>
    <w:r w:rsidRPr="5F1E5E54">
      <w:rPr>
        <w:rFonts w:ascii="Century Gothic" w:hAnsi="Century Gothic"/>
      </w:rPr>
      <w:t>Revised 3.27.23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E0054" w14:textId="77777777" w:rsidR="006D3214" w:rsidRDefault="006D3214" w:rsidP="00B676CE">
      <w:pPr>
        <w:spacing w:after="0" w:line="240" w:lineRule="auto"/>
      </w:pPr>
      <w:r>
        <w:separator/>
      </w:r>
    </w:p>
  </w:footnote>
  <w:footnote w:type="continuationSeparator" w:id="0">
    <w:p w14:paraId="64E2BC2D" w14:textId="77777777" w:rsidR="006D3214" w:rsidRDefault="006D3214" w:rsidP="00B676CE">
      <w:pPr>
        <w:spacing w:after="0" w:line="240" w:lineRule="auto"/>
      </w:pPr>
      <w:r>
        <w:continuationSeparator/>
      </w:r>
    </w:p>
  </w:footnote>
  <w:footnote w:type="continuationNotice" w:id="1">
    <w:p w14:paraId="3CBE4721" w14:textId="77777777" w:rsidR="006D3214" w:rsidRDefault="006D32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5584" w14:textId="4480FAE9" w:rsidR="00B676CE" w:rsidRPr="00B676CE" w:rsidRDefault="00DC69C9" w:rsidP="00B676CE">
    <w:pPr>
      <w:pStyle w:val="Header"/>
      <w:jc w:val="center"/>
    </w:pPr>
    <w:r>
      <w:rPr>
        <w:noProof/>
      </w:rPr>
      <w:drawing>
        <wp:inline distT="0" distB="0" distL="0" distR="0" wp14:anchorId="2326858D" wp14:editId="17DE41F3">
          <wp:extent cx="3331028" cy="1175657"/>
          <wp:effectExtent l="0" t="0" r="0" b="0"/>
          <wp:docPr id="1" name="Picture 1" descr="Image. Logo of the California State Library. To the left a small blue square filled with a large, gold  8 point star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1028" cy="117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7201D"/>
    <w:multiLevelType w:val="hybridMultilevel"/>
    <w:tmpl w:val="2108A0CA"/>
    <w:lvl w:ilvl="0" w:tplc="EB98B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EC3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6B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CAB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5E3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84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83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02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ECF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F6992"/>
    <w:multiLevelType w:val="hybridMultilevel"/>
    <w:tmpl w:val="8502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809541">
    <w:abstractNumId w:val="0"/>
  </w:num>
  <w:num w:numId="2" w16cid:durableId="494348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16"/>
    <w:rsid w:val="00036164"/>
    <w:rsid w:val="000415E4"/>
    <w:rsid w:val="00041753"/>
    <w:rsid w:val="000C355E"/>
    <w:rsid w:val="000D3AE1"/>
    <w:rsid w:val="000F6F2A"/>
    <w:rsid w:val="00151D50"/>
    <w:rsid w:val="001C51D4"/>
    <w:rsid w:val="001E4D2C"/>
    <w:rsid w:val="002138D6"/>
    <w:rsid w:val="00234516"/>
    <w:rsid w:val="00273EE6"/>
    <w:rsid w:val="00286649"/>
    <w:rsid w:val="002A04C8"/>
    <w:rsid w:val="002A1C5A"/>
    <w:rsid w:val="002A5339"/>
    <w:rsid w:val="002F1771"/>
    <w:rsid w:val="00346297"/>
    <w:rsid w:val="00377A96"/>
    <w:rsid w:val="003E7D47"/>
    <w:rsid w:val="00403E00"/>
    <w:rsid w:val="00405A1B"/>
    <w:rsid w:val="00470C1D"/>
    <w:rsid w:val="00473FBC"/>
    <w:rsid w:val="00490D48"/>
    <w:rsid w:val="00493938"/>
    <w:rsid w:val="004E57B0"/>
    <w:rsid w:val="00512B05"/>
    <w:rsid w:val="0052560B"/>
    <w:rsid w:val="00562377"/>
    <w:rsid w:val="005959AC"/>
    <w:rsid w:val="005C244D"/>
    <w:rsid w:val="006050F4"/>
    <w:rsid w:val="00657B7B"/>
    <w:rsid w:val="006D3214"/>
    <w:rsid w:val="0073256A"/>
    <w:rsid w:val="00796D87"/>
    <w:rsid w:val="00830A8B"/>
    <w:rsid w:val="00830B3F"/>
    <w:rsid w:val="00837D07"/>
    <w:rsid w:val="00843E14"/>
    <w:rsid w:val="00931872"/>
    <w:rsid w:val="00952350"/>
    <w:rsid w:val="0098161A"/>
    <w:rsid w:val="009B3C87"/>
    <w:rsid w:val="009C75B9"/>
    <w:rsid w:val="00A83FE6"/>
    <w:rsid w:val="00A963B0"/>
    <w:rsid w:val="00AA4789"/>
    <w:rsid w:val="00AB6147"/>
    <w:rsid w:val="00AE530E"/>
    <w:rsid w:val="00B62BB4"/>
    <w:rsid w:val="00B676CE"/>
    <w:rsid w:val="00B802D1"/>
    <w:rsid w:val="00C42471"/>
    <w:rsid w:val="00C8541D"/>
    <w:rsid w:val="00C94A41"/>
    <w:rsid w:val="00D42A40"/>
    <w:rsid w:val="00D477D4"/>
    <w:rsid w:val="00D75D05"/>
    <w:rsid w:val="00DA37B6"/>
    <w:rsid w:val="00DC69C9"/>
    <w:rsid w:val="00EB4203"/>
    <w:rsid w:val="00EB4C0E"/>
    <w:rsid w:val="00EF6ACC"/>
    <w:rsid w:val="00FF3406"/>
    <w:rsid w:val="00FF75D6"/>
    <w:rsid w:val="022CC0DE"/>
    <w:rsid w:val="036A4189"/>
    <w:rsid w:val="05B6E96F"/>
    <w:rsid w:val="05EF742F"/>
    <w:rsid w:val="0730E7FE"/>
    <w:rsid w:val="0823AE6C"/>
    <w:rsid w:val="089F8502"/>
    <w:rsid w:val="09528E10"/>
    <w:rsid w:val="0A9724D4"/>
    <w:rsid w:val="0B0C5C3E"/>
    <w:rsid w:val="0CC4DD76"/>
    <w:rsid w:val="0DB81D69"/>
    <w:rsid w:val="0E925878"/>
    <w:rsid w:val="0E9B046E"/>
    <w:rsid w:val="0FA92CEE"/>
    <w:rsid w:val="10232E2A"/>
    <w:rsid w:val="1212A09B"/>
    <w:rsid w:val="13633F7B"/>
    <w:rsid w:val="16293594"/>
    <w:rsid w:val="1646D986"/>
    <w:rsid w:val="18B942D8"/>
    <w:rsid w:val="19FD9150"/>
    <w:rsid w:val="1B043663"/>
    <w:rsid w:val="1C4299AF"/>
    <w:rsid w:val="1FDAF0F5"/>
    <w:rsid w:val="20C6B985"/>
    <w:rsid w:val="27149244"/>
    <w:rsid w:val="27CA68D8"/>
    <w:rsid w:val="2D98B4C6"/>
    <w:rsid w:val="2E00D68C"/>
    <w:rsid w:val="2E56D45E"/>
    <w:rsid w:val="30EAB4C8"/>
    <w:rsid w:val="32CF0381"/>
    <w:rsid w:val="32F0279C"/>
    <w:rsid w:val="380B60C5"/>
    <w:rsid w:val="3945804E"/>
    <w:rsid w:val="3C28B60C"/>
    <w:rsid w:val="3F1863A9"/>
    <w:rsid w:val="4499C22A"/>
    <w:rsid w:val="44BCBFD8"/>
    <w:rsid w:val="455F9F19"/>
    <w:rsid w:val="4AC885F5"/>
    <w:rsid w:val="4C0FB059"/>
    <w:rsid w:val="4C3F3E23"/>
    <w:rsid w:val="4C74B917"/>
    <w:rsid w:val="4D19D8B9"/>
    <w:rsid w:val="4E78E6BC"/>
    <w:rsid w:val="4F60FFD6"/>
    <w:rsid w:val="50846D68"/>
    <w:rsid w:val="50D77F37"/>
    <w:rsid w:val="50E81354"/>
    <w:rsid w:val="51B4CA3C"/>
    <w:rsid w:val="52DE0B4B"/>
    <w:rsid w:val="53611FD4"/>
    <w:rsid w:val="54FA8918"/>
    <w:rsid w:val="5610E931"/>
    <w:rsid w:val="582CBE99"/>
    <w:rsid w:val="58461D50"/>
    <w:rsid w:val="58AB2EB1"/>
    <w:rsid w:val="59CF3943"/>
    <w:rsid w:val="5A615296"/>
    <w:rsid w:val="5BFE790C"/>
    <w:rsid w:val="5F1E5E54"/>
    <w:rsid w:val="5F5104D0"/>
    <w:rsid w:val="60C4AF7C"/>
    <w:rsid w:val="6257745D"/>
    <w:rsid w:val="69301FBE"/>
    <w:rsid w:val="696E6B32"/>
    <w:rsid w:val="69C58DD7"/>
    <w:rsid w:val="6B2C8886"/>
    <w:rsid w:val="6FDFAE0F"/>
    <w:rsid w:val="715BFBFC"/>
    <w:rsid w:val="716E5FD9"/>
    <w:rsid w:val="71764A30"/>
    <w:rsid w:val="73943413"/>
    <w:rsid w:val="7481B7C1"/>
    <w:rsid w:val="7745909C"/>
    <w:rsid w:val="78239166"/>
    <w:rsid w:val="78B5DAE7"/>
    <w:rsid w:val="7AE7B849"/>
    <w:rsid w:val="7D844537"/>
    <w:rsid w:val="7DA67A30"/>
    <w:rsid w:val="7E9A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2085B"/>
  <w15:chartTrackingRefBased/>
  <w15:docId w15:val="{03973D0F-ED91-4BE1-B08B-F355C7DF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18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8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1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18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5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66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6CE"/>
  </w:style>
  <w:style w:type="paragraph" w:styleId="Footer">
    <w:name w:val="footer"/>
    <w:basedOn w:val="Normal"/>
    <w:link w:val="FooterChar"/>
    <w:uiPriority w:val="99"/>
    <w:unhideWhenUsed/>
    <w:rsid w:val="00B67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6CE"/>
  </w:style>
  <w:style w:type="character" w:customStyle="1" w:styleId="normaltextrun">
    <w:name w:val="normaltextrun"/>
    <w:basedOn w:val="DefaultParagraphFont"/>
    <w:rsid w:val="00B676CE"/>
  </w:style>
  <w:style w:type="character" w:customStyle="1" w:styleId="eop">
    <w:name w:val="eop"/>
    <w:basedOn w:val="DefaultParagraphFont"/>
    <w:rsid w:val="00B676CE"/>
  </w:style>
  <w:style w:type="character" w:styleId="UnresolvedMention">
    <w:name w:val="Unresolved Mention"/>
    <w:basedOn w:val="DefaultParagraphFont"/>
    <w:uiPriority w:val="99"/>
    <w:semiHidden/>
    <w:unhideWhenUsed/>
    <w:rsid w:val="00B676C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2A533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318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18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18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3187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aragraph">
    <w:name w:val="paragraph"/>
    <w:basedOn w:val="Normal"/>
    <w:rsid w:val="00A8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9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STAGrants@library.ca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library.ca.gov/grants/manag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E3EAF1B9-5A20-4495-A02E-9120247F22DA}">
    <t:Anchor>
      <t:Comment id="968122727"/>
    </t:Anchor>
    <t:History>
      <t:Event id="{DA4E9347-7F6D-4468-ABC6-09BACD526556}" time="2022-08-08T22:05:49.139Z">
        <t:Attribution userId="S::amanda.gamon@library.ca.gov::dc94c452-0b0d-4038-a26c-b0c93e512beb" userProvider="AD" userName="Gamon, Amanda@CSL"/>
        <t:Anchor>
          <t:Comment id="968122727"/>
        </t:Anchor>
        <t:Create/>
      </t:Event>
      <t:Event id="{ABF04277-54DD-4263-8224-E0AB51DA38AA}" time="2022-08-08T22:05:49.139Z">
        <t:Attribution userId="S::amanda.gamon@library.ca.gov::dc94c452-0b0d-4038-a26c-b0c93e512beb" userProvider="AD" userName="Gamon, Amanda@CSL"/>
        <t:Anchor>
          <t:Comment id="968122727"/>
        </t:Anchor>
        <t:Assign userId="S::lynne.oliva@library.ca.gov::09458980-c69f-40dd-88af-f75d1a078d49" userProvider="AD" userName="Oliva, Lynne@CSL"/>
      </t:Event>
      <t:Event id="{018022BF-028C-42B6-9274-85E60B2F9A04}" time="2022-08-08T22:05:49.139Z">
        <t:Attribution userId="S::amanda.gamon@library.ca.gov::dc94c452-0b0d-4038-a26c-b0c93e512beb" userProvider="AD" userName="Gamon, Amanda@CSL"/>
        <t:Anchor>
          <t:Comment id="968122727"/>
        </t:Anchor>
        <t:SetTitle title="@Oliva, Lynne@CSL Hello, Let me know if you have revisions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183C8A50CA042B4D7920FD5549178" ma:contentTypeVersion="18" ma:contentTypeDescription="Create a new document." ma:contentTypeScope="" ma:versionID="7446f9880c7bd5a040ab1f96bc107cbe">
  <xsd:schema xmlns:xsd="http://www.w3.org/2001/XMLSchema" xmlns:xs="http://www.w3.org/2001/XMLSchema" xmlns:p="http://schemas.microsoft.com/office/2006/metadata/properties" xmlns:ns2="1ac5ed15-5880-47ea-98aa-1a566e611521" xmlns:ns3="6efcf75a-685b-4aea-b5ec-a82ffbb88524" targetNamespace="http://schemas.microsoft.com/office/2006/metadata/properties" ma:root="true" ma:fieldsID="b61dd9c84ad2c467e94ca055de8825b0" ns2:_="" ns3:_="">
    <xsd:import namespace="1ac5ed15-5880-47ea-98aa-1a566e611521"/>
    <xsd:import namespace="6efcf75a-685b-4aea-b5ec-a82ffbb88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ProjNum" minOccurs="0"/>
                <xsd:element ref="ns2:lcf76f155ced4ddcb4097134ff3c332f" minOccurs="0"/>
                <xsd:element ref="ns3:TaxCatchAll" minOccurs="0"/>
                <xsd:element ref="ns2: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5ed15-5880-47ea-98aa-1a566e611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ProjNum" ma:index="18" nillable="true" ma:displayName="Proj Num" ma:description="Project Number" ma:format="Dropdown" ma:indexed="true" ma:internalName="ProjNum" ma:percentage="FALSE">
      <xsd:simpleType>
        <xsd:restriction base="dms:Number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1ebe912-6743-450b-8cbe-fab126f5db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ags" ma:index="22" nillable="true" ma:displayName="Tags" ma:description="Group tags for searching and Wiki groups" ma:format="Dropdown" ma:internalName="Tag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S Teams"/>
                        <xsd:enumeration value="Choice 2"/>
                        <xsd:enumeration value="Choice 3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cf75a-685b-4aea-b5ec-a82ffbb88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98dd1fc-d3cc-4b44-9e7f-70384a6f7cdd}" ma:internalName="TaxCatchAll" ma:showField="CatchAllData" ma:web="6efcf75a-685b-4aea-b5ec-a82ffbb88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fcf75a-685b-4aea-b5ec-a82ffbb88524">
      <UserInfo>
        <DisplayName>Killian, Michelle@CSL</DisplayName>
        <AccountId>46</AccountId>
        <AccountType/>
      </UserInfo>
      <UserInfo>
        <DisplayName>Oliva, Lynne@CSL</DisplayName>
        <AccountId>18</AccountId>
        <AccountType/>
      </UserInfo>
    </SharedWithUsers>
    <TaxCatchAll xmlns="6efcf75a-685b-4aea-b5ec-a82ffbb88524" xsi:nil="true"/>
    <lcf76f155ced4ddcb4097134ff3c332f xmlns="1ac5ed15-5880-47ea-98aa-1a566e611521">
      <Terms xmlns="http://schemas.microsoft.com/office/infopath/2007/PartnerControls"/>
    </lcf76f155ced4ddcb4097134ff3c332f>
    <ProjNum xmlns="1ac5ed15-5880-47ea-98aa-1a566e611521" xsi:nil="true"/>
    <Tags xmlns="1ac5ed15-5880-47ea-98aa-1a566e611521" xsi:nil="true"/>
    <MediaLengthInSeconds xmlns="1ac5ed15-5880-47ea-98aa-1a566e6115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6E21A-80F2-40E7-A066-00182665408E}"/>
</file>

<file path=customXml/itemProps2.xml><?xml version="1.0" encoding="utf-8"?>
<ds:datastoreItem xmlns:ds="http://schemas.openxmlformats.org/officeDocument/2006/customXml" ds:itemID="{B8F51211-8C6F-48BB-B88C-E067C6AF6CFE}">
  <ds:schemaRefs>
    <ds:schemaRef ds:uri="http://schemas.microsoft.com/office/2006/metadata/properties"/>
    <ds:schemaRef ds:uri="http://schemas.microsoft.com/office/infopath/2007/PartnerControls"/>
    <ds:schemaRef ds:uri="5c2dbc86-552b-4fb0-8fe2-2066762e2116"/>
    <ds:schemaRef ds:uri="283f2416-b220-474f-a39a-b0edae65da4f"/>
    <ds:schemaRef ds:uri="6efcf75a-685b-4aea-b5ec-a82ffbb88524"/>
    <ds:schemaRef ds:uri="1ac5ed15-5880-47ea-98aa-1a566e611521"/>
  </ds:schemaRefs>
</ds:datastoreItem>
</file>

<file path=customXml/itemProps3.xml><?xml version="1.0" encoding="utf-8"?>
<ds:datastoreItem xmlns:ds="http://schemas.openxmlformats.org/officeDocument/2006/customXml" ds:itemID="{D6E75FB4-A95D-415C-A03C-B3276A3740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8</DocSecurity>
  <Lines>29</Lines>
  <Paragraphs>8</Paragraphs>
  <ScaleCrop>false</ScaleCrop>
  <Company>California State Library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Annly@CSL</dc:creator>
  <cp:keywords/>
  <dc:description/>
  <cp:lastModifiedBy>Killian, Michelle@CSL</cp:lastModifiedBy>
  <cp:revision>25</cp:revision>
  <dcterms:created xsi:type="dcterms:W3CDTF">2023-03-27T14:32:00Z</dcterms:created>
  <dcterms:modified xsi:type="dcterms:W3CDTF">2023-07-19T17:39:00Z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0x010100105183C8A50CA042B4D7920FD5549178</vt:lpwstr>
  </property>
  <property fmtid="{D5CDD505-2E9C-101B-9397-08002B2CF9AE}" pid="3" name="Order">
    <vt:r8>37800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xd_Signature">
    <vt:bool>false</vt:bool>
  </property>
</Properties>
</file>